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1"/>
        <w:spacing w:before="180" w:after="180"/>
        <w:jc w:val="start"/>
        <w:rPr>
          <w:b/>
          <w:bCs/>
        </w:rPr>
      </w:pPr>
      <w:r>
        <w:rPr>
          <w:b/>
          <w:bCs/>
        </w:rPr>
        <w:t>Why the WMO’s New 2025 Climate Report and Today’s Press Release Get It Wrong</w:t>
      </w:r>
    </w:p>
    <w:p>
      <w:pPr>
        <w:pStyle w:val="normal1"/>
        <w:jc w:val="start"/>
        <w:rPr>
          <w:b/>
          <w:bCs/>
        </w:rPr>
      </w:pPr>
      <w:r>
        <w:rPr>
          <w:b/>
          <w:bCs/>
        </w:rPr>
        <w:t xml:space="preserve">Plain-Language Summary: </w:t>
      </w:r>
    </w:p>
    <w:p>
      <w:pPr>
        <w:pStyle w:val="normal1"/>
        <w:jc w:val="start"/>
        <w:rPr/>
      </w:pPr>
      <w:r>
        <w:rPr/>
        <w:t xml:space="preserve">Today (23 March 2026) the World Meteorological Organization released its </w:t>
      </w:r>
      <w:r>
        <w:rPr>
          <w:b/>
          <w:bCs/>
        </w:rPr>
        <w:t>State of the Global Climate 2025</w:t>
      </w:r>
      <w:r>
        <w:rPr/>
        <w:t xml:space="preserve"> report and a press release headlined </w:t>
      </w:r>
      <w:r>
        <w:rPr>
          <w:b/>
          <w:bCs/>
        </w:rPr>
        <w:t>“Earth’s climate swings increasingly out of balance.”</w:t>
      </w:r>
      <w:r>
        <w:rPr/>
        <w:t xml:space="preserve"> The big headlines they are pushing are:</w:t>
      </w:r>
    </w:p>
    <w:p>
      <w:pPr>
        <w:pStyle w:val="normal1"/>
        <w:numPr>
          <w:ilvl w:val="0"/>
          <w:numId w:val="2"/>
        </w:numPr>
        <w:spacing w:before="180" w:after="0"/>
        <w:ind w:hanging="360" w:start="720"/>
        <w:jc w:val="start"/>
        <w:rPr/>
      </w:pPr>
      <w:r>
        <w:rPr/>
        <w:t xml:space="preserve">Earth’s </w:t>
      </w:r>
      <w:r>
        <w:rPr>
          <w:b/>
          <w:bCs/>
        </w:rPr>
        <w:t>energy imbalance</w:t>
      </w:r>
      <w:r>
        <w:rPr/>
        <w:t xml:space="preserve"> is the highest in the 65-year record and getting worse fast.</w:t>
      </w:r>
    </w:p>
    <w:p>
      <w:pPr>
        <w:pStyle w:val="normal1"/>
        <w:numPr>
          <w:ilvl w:val="0"/>
          <w:numId w:val="2"/>
        </w:numPr>
        <w:spacing w:before="0" w:after="0"/>
        <w:ind w:hanging="360" w:start="720"/>
        <w:jc w:val="start"/>
        <w:rPr/>
      </w:pPr>
      <w:r>
        <w:rPr/>
        <w:t xml:space="preserve">The ocean is absorbing </w:t>
      </w:r>
      <w:r>
        <w:rPr>
          <w:b/>
          <w:bCs/>
        </w:rPr>
        <w:t>91% of the excess heat</w:t>
      </w:r>
      <w:r>
        <w:rPr/>
        <w:t xml:space="preserve"> — the equivalent of </w:t>
      </w:r>
      <w:r>
        <w:rPr>
          <w:b/>
          <w:bCs/>
        </w:rPr>
        <w:t>18 times all human energy use every single year</w:t>
      </w:r>
      <w:r>
        <w:rPr/>
        <w:t xml:space="preserve"> for the past two decades.</w:t>
      </w:r>
    </w:p>
    <w:p>
      <w:pPr>
        <w:pStyle w:val="normal1"/>
        <w:numPr>
          <w:ilvl w:val="0"/>
          <w:numId w:val="2"/>
        </w:numPr>
        <w:spacing w:before="0" w:after="0"/>
        <w:ind w:hanging="360" w:start="720"/>
        <w:jc w:val="start"/>
        <w:rPr/>
      </w:pPr>
      <w:r>
        <w:rPr/>
        <w:t>Ocean heat content hit a new record in 2025.</w:t>
      </w:r>
    </w:p>
    <w:p>
      <w:pPr>
        <w:pStyle w:val="normal1"/>
        <w:numPr>
          <w:ilvl w:val="0"/>
          <w:numId w:val="2"/>
        </w:numPr>
        <w:spacing w:before="0" w:after="0"/>
        <w:ind w:hanging="360" w:start="720"/>
        <w:jc w:val="start"/>
        <w:rPr/>
      </w:pPr>
      <w:r>
        <w:rPr/>
        <w:t>2015–2025 are the hottest 11 years ever; 2025 was the 2nd or 3rd warmest year (1.43 °C above pre-industrial).</w:t>
      </w:r>
    </w:p>
    <w:p>
      <w:pPr>
        <w:pStyle w:val="normal1"/>
        <w:numPr>
          <w:ilvl w:val="0"/>
          <w:numId w:val="2"/>
        </w:numPr>
        <w:spacing w:before="0" w:after="180"/>
        <w:ind w:hanging="360" w:start="720"/>
        <w:jc w:val="start"/>
        <w:rPr/>
      </w:pPr>
      <w:r>
        <w:rPr/>
        <w:t>This imbalance is driving record glacier melt, sea-level rise, sea-ice lows, more extremes, and health risks — a “state of emergency” with “every key climate indicator flashing red.”</w:t>
      </w:r>
    </w:p>
    <w:p>
      <w:pPr>
        <w:pStyle w:val="normal1"/>
        <w:jc w:val="start"/>
        <w:rPr/>
      </w:pPr>
      <w:r>
        <w:rPr/>
        <w:t xml:space="preserve">Those sound scary. But using only basic physics, Argo float facts, and math proofs </w:t>
      </w:r>
      <w:r>
        <w:rPr>
          <w:b/>
          <w:bCs/>
        </w:rPr>
        <w:t xml:space="preserve">from the paper by </w:t>
      </w:r>
      <w:hyperlink r:id="rId2">
        <w:r>
          <w:rPr>
            <w:rStyle w:val="Style3"/>
            <w:b/>
            <w:bCs/>
            <w:color w:val="1155CC"/>
            <w:u w:val="single"/>
          </w:rPr>
          <w:t>Cohler et al. (2026)</w:t>
        </w:r>
      </w:hyperlink>
      <w:r>
        <w:rPr/>
        <w:t xml:space="preserve"> (“IPCC’s Earth Energy Imbalance Assessment is Based on Physically Invalid Argo-Float-Based Estimates of Global Ocean Heat Content”, </w:t>
      </w:r>
      <w:r>
        <w:rPr>
          <w:i/>
          <w:iCs/>
        </w:rPr>
        <w:t>Science of Climate Change</w:t>
      </w:r>
      <w:r>
        <w:rPr/>
        <w:t xml:space="preserve"> 6(1):43–76) and</w:t>
      </w:r>
      <w:r>
        <w:rPr>
          <w:b/>
          <w:bCs/>
        </w:rPr>
        <w:t xml:space="preserve"> </w:t>
      </w:r>
      <w:hyperlink r:id="rId3">
        <w:r>
          <w:rPr>
            <w:rStyle w:val="Style3"/>
            <w:b/>
            <w:bCs/>
            <w:color w:val="1155CC"/>
            <w:u w:val="single"/>
          </w:rPr>
          <w:t>Cohler (2025)</w:t>
        </w:r>
      </w:hyperlink>
      <w:r>
        <w:rPr/>
        <w:t xml:space="preserve"> (“The Father of Lies Hijacking Climate Science: Global Mean Surface Temperature Does Not Exist”, </w:t>
      </w:r>
      <w:r>
        <w:rPr>
          <w:i/>
          <w:iCs/>
        </w:rPr>
        <w:t>Journal of American Physicians and Surgeons</w:t>
      </w:r>
      <w:r>
        <w:rPr/>
        <w:t xml:space="preserve"> 30(4):112–116) — both grounded in the same first principles proven by Essex et al. (2007) — </w:t>
      </w:r>
      <w:r>
        <w:rPr>
          <w:b/>
          <w:bCs/>
        </w:rPr>
        <w:t>every one of these claims collapses</w:t>
      </w:r>
      <w:r>
        <w:rPr/>
        <w:t>. Here is a simple breakdown, with exact page ties from the WMO report and the press release.</w:t>
      </w:r>
    </w:p>
    <w:p>
      <w:pPr>
        <w:pStyle w:val="Heading3"/>
        <w:jc w:val="start"/>
        <w:rPr/>
      </w:pPr>
      <w:bookmarkStart w:id="0" w:name="_h1t0859ppmbz"/>
      <w:bookmarkEnd w:id="0"/>
      <w:r>
        <w:rPr/>
        <w:t>0. The Entire Temperature Foundation Is Physically Meaningless (Summary p. 5 + Global mean near-surface temperature pp. 8–9, Figure 2 + press release)</w:t>
      </w:r>
    </w:p>
    <w:p>
      <w:pPr>
        <w:pStyle w:val="normal1"/>
        <w:jc w:val="start"/>
        <w:rPr/>
      </w:pPr>
      <w:r>
        <w:rPr/>
        <w:t>The report and press release open with global temperature records: 1.43 °C above pre-industrial, 2015–2025 the hottest 11 years, 2025 the 2nd or 3rd warmest. They treat this as the central proof of warming and the longest observational record of climate change.</w:t>
      </w:r>
    </w:p>
    <w:p>
      <w:pPr>
        <w:pStyle w:val="normal1"/>
        <w:jc w:val="start"/>
        <w:rPr/>
      </w:pPr>
      <w:r>
        <w:rPr>
          <w:b/>
          <w:bCs/>
        </w:rPr>
        <w:t>Reality check</w:t>
      </w:r>
      <w:r>
        <w:rPr/>
        <w:t xml:space="preserve">: As Cohler (2025) proves from first principles of thermodynamics (and exactly as Essex et al. 2007 demonstrated), </w:t>
      </w:r>
      <w:r>
        <w:rPr>
          <w:b/>
          <w:bCs/>
        </w:rPr>
        <w:t>global mean surface temperature (GMST) does not exist as a physically meaningful quantity</w:t>
      </w:r>
      <w:r>
        <w:rPr/>
        <w:t>. Temperature is an intensive property defined only locally in equilibrium. Earth’s surface is a vast non-equilibrium system with enormous differences in air vs. water, polar vs. equatorial regions, etc. There is no unique physical rule for averaging local temperatures globally — arithmetic mean, harmonic mean, RMS, geometric mean, and infinitely many others all give different numerical values and different trends. Without a physical principle to pick one, the choice is arbitrary. GMST is therefore a statistical artifact with no thermodynamic meaning. The IPCC and WMO pick one arbitrary method, tune all their models to match it, then call the result “temperature.” The entire “1.43 °C above pre-industrial” and “hottest years ever” narrative — and everything built on it — is physically invalid.</w:t>
      </w:r>
    </w:p>
    <w:p>
      <w:pPr>
        <w:pStyle w:val="Heading3"/>
        <w:jc w:val="start"/>
        <w:rPr/>
      </w:pPr>
      <w:bookmarkStart w:id="1" w:name="_cqvws9dqs3fg"/>
      <w:bookmarkEnd w:id="1"/>
      <w:r>
        <w:rPr/>
        <w:t>1. “Energy Imbalance Highest Ever” (Press release lead claim + report pp. 5, 20–21, Figures 9a &amp; 9b)</w:t>
      </w:r>
    </w:p>
    <w:p>
      <w:pPr>
        <w:pStyle w:val="normal1"/>
        <w:jc w:val="start"/>
        <w:rPr/>
      </w:pPr>
      <w:r>
        <w:rPr/>
        <w:t>The press release and new “Earth’s energy imbalance” section say the imbalance reached a new high in 2025 and is accelerating (0.30–0.44 W m⁻² per decade).</w:t>
        <w:br/>
      </w:r>
      <w:r>
        <w:rPr>
          <w:b/>
          <w:bCs/>
        </w:rPr>
        <w:t>Reality check</w:t>
      </w:r>
      <w:r>
        <w:rPr/>
        <w:t xml:space="preserve">: This number comes from adding up Argo ocean temperatures and tweaking satellite data to match. As Cohler et al. (2026) prove, temperature is an </w:t>
      </w:r>
      <w:r>
        <w:rPr>
          <w:b/>
          <w:bCs/>
        </w:rPr>
        <w:t>intensive</w:t>
      </w:r>
      <w:r>
        <w:rPr/>
        <w:t xml:space="preserve"> property — you cannot average it across the moving, non-uniform ocean and get a real energy total. The math just produces a meaningless number. Real uncertainty is </w:t>
      </w:r>
      <w:r>
        <w:rPr>
          <w:rFonts w:eastAsia="Gungsuh" w:cs="Gungsuh" w:ascii="Gungsuh" w:hAnsi="Gungsuh"/>
          <w:b/>
          <w:bCs/>
        </w:rPr>
        <w:t>≥ ±1 W m⁻²</w:t>
      </w:r>
      <w:r>
        <w:rPr/>
        <w:t xml:space="preserve"> (ten times bigger than they show), so “highest ever” and “accelerating” are impossible to tell apart from zero. The press release calls this the planet being “pushed beyond its limits” — but the limit they are quoting is a computer artifact.</w:t>
      </w:r>
    </w:p>
    <w:p>
      <w:pPr>
        <w:pStyle w:val="Heading3"/>
        <w:jc w:val="start"/>
        <w:rPr/>
      </w:pPr>
      <w:bookmarkStart w:id="2" w:name="_503ju1vz25o7"/>
      <w:bookmarkEnd w:id="2"/>
      <w:r>
        <w:rPr/>
        <w:t>2. “Ocean Absorbing 91% of Excess Heat — 18 Times Human Energy Use Every Year” (Summary p. 5 + Ocean heat content pp. 10–11 + press release bullet)</w:t>
      </w:r>
    </w:p>
    <w:p>
      <w:pPr>
        <w:pStyle w:val="normal1"/>
        <w:jc w:val="start"/>
        <w:rPr/>
      </w:pPr>
      <w:r>
        <w:rPr/>
        <w:t>They repeat the 91% figure and say recent ocean warming is “11.0–12.2 ZJ per year — about 18 times annual human energy use.”</w:t>
        <w:br/>
      </w:r>
      <w:r>
        <w:rPr>
          <w:b/>
          <w:bCs/>
        </w:rPr>
        <w:t>Reality check</w:t>
      </w:r>
      <w:r>
        <w:rPr>
          <w:rFonts w:eastAsia="Cardo" w:cs="Cardo" w:ascii="Cardo" w:hAnsi="Cardo"/>
        </w:rPr>
        <w:t>: This is exactly the invalid calculation that Cohler et al. (2026) dismantle:</w:t>
        <w:br/>
        <w:t>ΔOHC = ∫ ρ c_p ΔT dV</w:t>
        <w:br/>
        <w:t xml:space="preserve">where ΔT is a statistical difference with no physical meaning. Argo floats only sample the </w:t>
      </w:r>
      <w:r>
        <w:rPr>
          <w:b/>
          <w:bCs/>
        </w:rPr>
        <w:t>top half</w:t>
      </w:r>
      <w:r>
        <w:rPr/>
        <w:t xml:space="preserve"> of the ocean; the rest is guessed. Subsurface drift (5–50 km), unknown paths, and arbitrary grid-filling create fake numbers. The paper proves the true uncertainty is </w:t>
      </w:r>
      <w:r>
        <w:rPr>
          <w:b/>
          <w:bCs/>
        </w:rPr>
        <w:t>±0.35 W m⁻²</w:t>
      </w:r>
      <w:r>
        <w:rPr/>
        <w:t xml:space="preserve"> for the deep ocean alone, plus more from mesoscale eddies and polar gaps. The 91% and 18× claims are not measurements — they are made-up ratios from bad math.</w:t>
      </w:r>
    </w:p>
    <w:p>
      <w:pPr>
        <w:pStyle w:val="Heading3"/>
        <w:jc w:val="start"/>
        <w:rPr/>
      </w:pPr>
      <w:bookmarkStart w:id="3" w:name="_lobwfjkpavlc"/>
      <w:bookmarkEnd w:id="3"/>
      <w:r>
        <w:rPr/>
        <w:t>3. “Record Ocean Heat Content in 2025” and “Rate Doubled” (Ocean heat content pp. 10–11 + press release)</w:t>
      </w:r>
    </w:p>
    <w:p>
      <w:pPr>
        <w:pStyle w:val="normal1"/>
        <w:jc w:val="start"/>
        <w:rPr/>
      </w:pPr>
      <w:r>
        <w:rPr/>
        <w:t>They declare 2025 broke the previous record and the warming rate doubled since 2005.</w:t>
        <w:br/>
      </w:r>
      <w:r>
        <w:rPr>
          <w:b/>
          <w:bCs/>
        </w:rPr>
        <w:t>Reality check</w:t>
      </w:r>
      <w:r>
        <w:rPr/>
        <w:t>: Same flawed Argo processing chain. Floats miss half the ocean volume, have positional errors up to 50 km, and interpolation dominates the map. Unresolved eddies alone add ±0.9 W m⁻² uncertainty — bigger than the entire “record” trend they claim. Cohler et al. (2026) show these numbers are statistically indistinguishable from zero.</w:t>
      </w:r>
    </w:p>
    <w:p>
      <w:pPr>
        <w:pStyle w:val="Heading3"/>
        <w:jc w:val="start"/>
        <w:rPr/>
      </w:pPr>
      <w:bookmarkStart w:id="4" w:name="_frcuheu2eli8"/>
      <w:bookmarkEnd w:id="4"/>
      <w:r>
        <w:rPr/>
        <w:t>4. Everything Else (Sea level p. 12, sea ice p. 18, glaciers p. 16, health case study pp. 28–29, press release extremes and impacts)</w:t>
      </w:r>
    </w:p>
    <w:p>
      <w:pPr>
        <w:pStyle w:val="normal1"/>
        <w:jc w:val="start"/>
        <w:rPr/>
      </w:pPr>
      <w:r>
        <w:rPr/>
        <w:t>All the downstream claims — accelerating sea-level rise, record glacier loss, low sea ice, dengue spread, worker heat stress, “cascading impacts,” and “delay is deadly” — are built on the same broken GMST and OHC/EEI numbers from the invalid methods exposed in Cohler (2025) and Cohler et al. (2026). If the core metrics are physically meaningless, the whole chain of alarm falls apart.</w:t>
      </w:r>
    </w:p>
    <w:p>
      <w:pPr>
        <w:pStyle w:val="normal1"/>
        <w:jc w:val="start"/>
        <w:rPr/>
      </w:pPr>
      <w:r>
        <w:rPr>
          <w:b/>
          <w:bCs/>
        </w:rPr>
        <w:t>Bottom line</w:t>
      </w:r>
      <w:r>
        <w:rPr/>
        <w:br/>
        <w:t xml:space="preserve">The WMO press release calls this a “state of emergency” with “every key indicator flashing red” and warns that “delay is deadly.” The Secretary-General says the planet is “pushed beyond its limits.” But the report never mentions the proofs in Cohler (2025), Cohler et al. (2026), and Essex et al. (2007) that their two core numbers — GMST and ocean heat/EEI — have </w:t>
      </w:r>
      <w:r>
        <w:rPr>
          <w:b/>
          <w:bCs/>
        </w:rPr>
        <w:t>no physical meaning</w:t>
      </w:r>
      <w:r>
        <w:rPr/>
        <w:t xml:space="preserve"> and uncertainties </w:t>
      </w:r>
      <w:r>
        <w:rPr>
          <w:b/>
          <w:bCs/>
        </w:rPr>
        <w:t>ten times larger</w:t>
      </w:r>
      <w:r>
        <w:rPr/>
        <w:t xml:space="preserve"> than claimed.</w:t>
      </w:r>
    </w:p>
    <w:p>
      <w:pPr>
        <w:pStyle w:val="normal1"/>
        <w:jc w:val="start"/>
        <w:rPr/>
      </w:pPr>
      <w:r>
        <w:rPr/>
        <w:t>From first principles — temperature is intensive and non-additive, Argo floats only sample half the ocean with unknown paths, and the math turns sparse data into artifacts — none of the dramatic conclusions in today’s WMO press release or report are supported by valid science. The “records” and “imbalance” they trumpet are computer constructs, not real observations of the planet’s energy.</w:t>
      </w:r>
    </w:p>
    <w:p>
      <w:pPr>
        <w:pStyle w:val="normal1"/>
        <w:widowControl/>
        <w:bidi w:val="0"/>
        <w:spacing w:lineRule="auto" w:line="264" w:before="180" w:after="180"/>
        <w:jc w:val="both"/>
        <w:rPr/>
      </w:pPr>
      <w:r>
        <w:rPr/>
      </w:r>
    </w:p>
    <w:sectPr>
      <w:type w:val="nextPage"/>
      <w:pgSz w:w="12240" w:h="15840"/>
      <w:pgMar w:left="1080" w:right="1080" w:gutter="0" w:header="0" w:top="1080" w:footer="0" w:bottom="72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characterSet="windows-1252"/>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characterSet="windows-1252"/>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Liberation Sans">
    <w:altName w:val="Arial"/>
    <w:charset w:val="00" w:characterSet="windows-1252"/>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Arial">
    <w:charset w:val="00" w:characterSet="windows-1252"/>
    <w:family w:val="roman"/>
    <w:pitch w:val="variable"/>
  </w:font>
  <w:font w:name="Gungsuh">
    <w:charset w:val="00" w:characterSet="windows-1252"/>
    <w:family w:val="roman"/>
    <w:pitch w:val="variable"/>
  </w:font>
  <w:font w:name="Cardo">
    <w:charset w:val="00" w:characterSet="windows-1252"/>
    <w:family w:val="roman"/>
    <w:pitch w:val="variable"/>
  </w:font>
  <w:font w:name="Arial">
    <w:charset w:val="01"/>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OpenSymbol">
    <w:altName w:val="Arial Unicode MS"/>
    <w:charset w:val="01"/>
    <w:family w:val="auto"/>
    <w:pitch w:val="default"/>
    <w:embedRegular r:id="rId18" w:fontKey="{12014A78-CABC-4EF0-12AC-5CD89AEFDE12}"/>
    <w:embedBold r:id="rId19" w:fontKey="{13014A78-CABC-4EF0-12AC-5CD89AEFDE13}"/>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bullet"/>
      <w:lvlText w:val="-"/>
      <w:lvlJc w:val="start"/>
      <w:pPr>
        <w:tabs>
          <w:tab w:val="num" w:pos="0"/>
        </w:tabs>
        <w:ind w:start="720" w:hanging="360"/>
      </w:pPr>
      <w:rPr>
        <w:rFonts w:ascii="Arial" w:hAnsi="Arial" w:cs="Arial" w:hint="default"/>
        <w:b w:val="false"/>
        <w:bCs w:val="false"/>
        <w:i w:val="false"/>
        <w:iCs w:val="false"/>
        <w:caps w:val="false"/>
        <w:smallCaps w:val="false"/>
        <w:strike w:val="false"/>
        <w:dstrike w:val="false"/>
        <w:color w:val="000000"/>
        <w:position w:val="0"/>
        <w:sz w:val="22"/>
        <w:szCs w:val="22"/>
        <w:u w:val="none"/>
        <w:shd w:fill="auto" w:val="clear"/>
        <w:vertAlign w:val="baseline"/>
      </w:rPr>
    </w:lvl>
    <w:lvl w:ilvl="1">
      <w:start w:val="1"/>
      <w:numFmt w:val="bullet"/>
      <w:lvlText w:val="-"/>
      <w:lvlJc w:val="start"/>
      <w:pPr>
        <w:tabs>
          <w:tab w:val="num" w:pos="0"/>
        </w:tabs>
        <w:ind w:start="1440" w:hanging="360"/>
      </w:pPr>
      <w:rPr>
        <w:rFonts w:ascii="OpenSymbol" w:hAnsi="OpenSymbol" w:cs="OpenSymbol" w:hint="default"/>
        <w:u w:val="none"/>
      </w:rPr>
    </w:lvl>
    <w:lvl w:ilvl="2">
      <w:start w:val="1"/>
      <w:numFmt w:val="bullet"/>
      <w:lvlText w:val="-"/>
      <w:lvlJc w:val="start"/>
      <w:pPr>
        <w:tabs>
          <w:tab w:val="num" w:pos="0"/>
        </w:tabs>
        <w:ind w:start="2160" w:hanging="360"/>
      </w:pPr>
      <w:rPr>
        <w:rFonts w:ascii="OpenSymbol" w:hAnsi="OpenSymbol" w:cs="OpenSymbol" w:hint="default"/>
        <w:u w:val="none"/>
      </w:rPr>
    </w:lvl>
    <w:lvl w:ilvl="3">
      <w:start w:val="1"/>
      <w:numFmt w:val="bullet"/>
      <w:lvlText w:val="-"/>
      <w:lvlJc w:val="start"/>
      <w:pPr>
        <w:tabs>
          <w:tab w:val="num" w:pos="0"/>
        </w:tabs>
        <w:ind w:start="2880" w:hanging="360"/>
      </w:pPr>
      <w:rPr>
        <w:rFonts w:ascii="OpenSymbol" w:hAnsi="OpenSymbol" w:cs="OpenSymbol" w:hint="default"/>
        <w:u w:val="none"/>
      </w:rPr>
    </w:lvl>
    <w:lvl w:ilvl="4">
      <w:start w:val="1"/>
      <w:numFmt w:val="bullet"/>
      <w:lvlText w:val="-"/>
      <w:lvlJc w:val="start"/>
      <w:pPr>
        <w:tabs>
          <w:tab w:val="num" w:pos="0"/>
        </w:tabs>
        <w:ind w:start="3600" w:hanging="360"/>
      </w:pPr>
      <w:rPr>
        <w:rFonts w:ascii="OpenSymbol" w:hAnsi="OpenSymbol" w:cs="OpenSymbol" w:hint="default"/>
        <w:u w:val="none"/>
      </w:rPr>
    </w:lvl>
    <w:lvl w:ilvl="5">
      <w:start w:val="1"/>
      <w:numFmt w:val="bullet"/>
      <w:lvlText w:val="-"/>
      <w:lvlJc w:val="start"/>
      <w:pPr>
        <w:tabs>
          <w:tab w:val="num" w:pos="0"/>
        </w:tabs>
        <w:ind w:start="4320" w:hanging="360"/>
      </w:pPr>
      <w:rPr>
        <w:rFonts w:ascii="OpenSymbol" w:hAnsi="OpenSymbol" w:cs="OpenSymbol" w:hint="default"/>
        <w:u w:val="none"/>
      </w:rPr>
    </w:lvl>
    <w:lvl w:ilvl="6">
      <w:start w:val="1"/>
      <w:numFmt w:val="bullet"/>
      <w:lvlText w:val="-"/>
      <w:lvlJc w:val="start"/>
      <w:pPr>
        <w:tabs>
          <w:tab w:val="num" w:pos="0"/>
        </w:tabs>
        <w:ind w:start="5040" w:hanging="360"/>
      </w:pPr>
      <w:rPr>
        <w:rFonts w:ascii="OpenSymbol" w:hAnsi="OpenSymbol" w:cs="OpenSymbol" w:hint="default"/>
        <w:u w:val="none"/>
      </w:rPr>
    </w:lvl>
    <w:lvl w:ilvl="7">
      <w:start w:val="1"/>
      <w:numFmt w:val="bullet"/>
      <w:lvlText w:val="-"/>
      <w:lvlJc w:val="start"/>
      <w:pPr>
        <w:tabs>
          <w:tab w:val="num" w:pos="0"/>
        </w:tabs>
        <w:ind w:start="5760" w:hanging="360"/>
      </w:pPr>
      <w:rPr>
        <w:rFonts w:ascii="OpenSymbol" w:hAnsi="OpenSymbol" w:cs="OpenSymbol" w:hint="default"/>
        <w:u w:val="none"/>
      </w:rPr>
    </w:lvl>
    <w:lvl w:ilvl="8">
      <w:start w:val="1"/>
      <w:numFmt w:val="bullet"/>
      <w:lvlText w:val="-"/>
      <w:lvlJc w:val="start"/>
      <w:pPr>
        <w:tabs>
          <w:tab w:val="num" w:pos="0"/>
        </w:tabs>
        <w:ind w:start="6480" w:hanging="360"/>
      </w:pPr>
      <w:rPr>
        <w:rFonts w:ascii="OpenSymbol" w:hAnsi="OpenSymbol" w:cs="OpenSymbol" w:hint="default"/>
        <w:u w:val="none"/>
      </w:rPr>
    </w:lvl>
  </w:abstractNum>
  <w:num w:numId="1">
    <w:abstractNumId w:val="1"/>
  </w:num>
  <w:num w:numId="2">
    <w:abstractNumId w:val="2"/>
  </w:num>
</w:numbering>
</file>

<file path=word/settings.xml><?xml version="1.0" encoding="utf-8"?>
<w:settings xmlns:w="http://schemas.openxmlformats.org/wordprocessingml/2006/main">
  <w:zoom w:percent="90"/>
  <w:displayBackgroundShape/>
  <w:embedTrueTypeFonts/>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sz w:val="24"/>
        <w:szCs w:val="24"/>
        <w:lang w:val="en-US" w:eastAsia="zh-CN" w:bidi="hi-IN"/>
      </w:rPr>
    </w:rPrDefault>
    <w:pPrDefault>
      <w:pPr>
        <w:suppressAutoHyphens w:val="true"/>
      </w:pPr>
    </w:pPrDefault>
  </w:docDefaults>
  <w:style w:type="paragraph" w:styleId="Normal">
    <w:name w:val="Normal"/>
    <w:qFormat/>
    <w:pPr>
      <w:widowControl w:val="false"/>
      <w:kinsoku w:val="true"/>
      <w:overflowPunct w:val="true"/>
      <w:autoSpaceDE w:val="true"/>
      <w:bidi w:val="0"/>
    </w:pPr>
    <w:rPr>
      <w:rFonts w:ascii="Times New Roman" w:hAnsi="Times New Roman" w:eastAsia="NSimSun" w:cs="Lucida Sans"/>
      <w:color w:val="auto"/>
      <w:kern w:val="0"/>
      <w:sz w:val="24"/>
      <w:szCs w:val="24"/>
      <w:lang w:val="en-U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spacing w:lineRule="auto" w:line="240" w:before="240" w:after="240"/>
      <w:jc w:val="start"/>
    </w:pPr>
    <w:rPr>
      <w:b/>
      <w:bCs/>
      <w:sz w:val="32"/>
      <w:szCs w:val="32"/>
    </w:rPr>
  </w:style>
  <w:style w:type="paragraph" w:styleId="Heading3">
    <w:name w:val="heading 3"/>
    <w:basedOn w:val="normal1"/>
    <w:next w:val="normal1"/>
    <w:qFormat/>
    <w:pPr>
      <w:keepNext w:val="true"/>
      <w:keepLines/>
      <w:spacing w:lineRule="auto" w:line="240" w:before="240" w:after="240"/>
    </w:pPr>
    <w:rPr>
      <w:b/>
      <w:bCs/>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iCs/>
      <w:color w:val="666666"/>
      <w:sz w:val="22"/>
      <w:szCs w:val="22"/>
    </w:rPr>
  </w:style>
  <w:style w:type="character" w:styleId="Hyperlink">
    <w:name w:val="Hyperlink"/>
    <w:rPr>
      <w:color w:val="000080"/>
      <w:u w:val="single"/>
    </w:rPr>
  </w:style>
  <w:style w:type="paragraph" w:styleId="berschrift">
    <w:name w:val="Überschrift"/>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Verzeichnis">
    <w:name w:val="Verzeichnis"/>
    <w:basedOn w:val="Normal"/>
    <w:qFormat/>
    <w:pPr>
      <w:suppressLineNumbers/>
    </w:pPr>
    <w:rPr>
      <w:rFonts w:cs="Lucida Sans"/>
    </w:rPr>
  </w:style>
  <w:style w:type="paragraph" w:styleId="normal1">
    <w:name w:val="normal1"/>
    <w:qFormat/>
    <w:pPr>
      <w:widowControl/>
      <w:kinsoku w:val="true"/>
      <w:overflowPunct w:val="true"/>
      <w:autoSpaceDE w:val="true"/>
      <w:bidi w:val="0"/>
      <w:spacing w:lineRule="auto" w:line="264" w:before="180" w:after="180"/>
      <w:jc w:val="both"/>
    </w:pPr>
    <w:rPr>
      <w:rFonts w:ascii="Times New Roman" w:hAnsi="Times New Roman" w:eastAsia="NSimSun" w:cs="Lucida Sans"/>
      <w:color w:val="auto"/>
      <w:kern w:val="0"/>
      <w:sz w:val="24"/>
      <w:szCs w:val="24"/>
      <w:lang w:val="en-U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doi.org/10.5281/zenodo.18936064" TargetMode="External"/><Relationship Id="rId3" Type="http://schemas.openxmlformats.org/officeDocument/2006/relationships/hyperlink" Target="https://doi.org/10.5281/zenodo.18256765"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TotalTime>
  <Application>LibreOffice/25.8.4.2$Windows_X86_64 LibreOffice_project/290daaa01b999472f0c7a3890eb6a550fd74c6df</Application>
  <AppVersion>15.0000</AppVersion>
  <Pages>3</Pages>
  <Words>1075</Words>
  <Characters>5503</Characters>
  <CharactersWithSpaces>6555</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de-DE</dc:language>
  <cp:lastModifiedBy/>
  <dcterms:modified xsi:type="dcterms:W3CDTF">2026-03-25T10:47:41Z</dcterms:modified>
  <cp:revision>2</cp:revision>
  <dc:subject/>
  <dc:title/>
</cp:coreProperties>
</file>